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w:t>
      </w:r>
    </w:p>
    <w:p>
      <w:r>
        <w:t>Bundesgericht (BGE), 1995-03-06, DE</w:t>
      </w:r>
    </w:p>
    <w:p>
      <w:r>
        <w:rPr>
          <w:b/>
        </w:rPr>
        <w:t xml:space="preserve">Quelle: </w:t>
      </w:r>
      <w:r>
        <w:t>https://mcp.opencaselaw.ch/entscheid/bge_121 IV 3</w:t>
      </w:r>
    </w:p>
    <w:p>
      <w:r>
        <w:t>FR: ATF 121 IV 3</w:t>
      </w:r>
    </w:p>
    <w:p>
      <w:r>
        <w:t>IT: DTF 121 IV 3</w:t>
      </w:r>
    </w:p>
    <w:p>
      <w:pPr>
        <w:pStyle w:val="Heading2"/>
      </w:pPr>
      <w:r>
        <w:t>Regeste</w:t>
      </w:r>
    </w:p>
    <w:p>
      <w:r>
        <w:t>Regeste Art. 63, 359 ff. und 397bis Abs. 1 lit. h StGB; Art. 13 der Verordnung über das Strafregister; Entfernung von Vorstrafen aus dem Strafregister; Strafzumessung. Aus dem Strafregister entfernte Vorstrafen dürfen bei der Strafzumessung berücksichtigt werden. Die Entfernung kann allerdings ein Indiz dafür sein, dass der Vorstrafe für die Sanktion keine grosse Bedeutung mehr zukommt (E. 1c/dd).</w:t>
      </w:r>
    </w:p>
    <w:p>
      <w:pPr>
        <w:pStyle w:val="Heading2"/>
      </w:pPr>
      <w:r>
        <w:t>Erwägungen</w:t>
      </w:r>
    </w:p>
    <w:p>
      <w:r>
        <w:rPr>
          <w:b/>
        </w:rPr>
        <w:t>E. 1</w:t>
      </w:r>
    </w:p>
    <w:p>
      <w:r>
        <w:t>Personen, deren Ableben von einer Behörde gemeldet wird;</w:t>
      </w:r>
    </w:p>
    <w:p>
      <w:r>
        <w:rPr>
          <w:b/>
        </w:rPr>
        <w:t>E. 2</w:t>
      </w:r>
    </w:p>
    <w:p>
      <w:r>
        <w:t>Personen, die das 80. Lebensjahr vollendet haben;</w:t>
      </w:r>
    </w:p>
    <w:p>
      <w:r>
        <w:rPr>
          <w:b/>
        </w:rPr>
        <w:t>E. 3</w:t>
      </w:r>
    </w:p>
    <w:p>
      <w:r>
        <w:t>Verurteilungen zu einer Freiheitsstrafe von nicht mehr als drei Monaten oder zu einer Busse, wenn seit dem Urteil 15 Jahre verstrichen sind;</w:t>
      </w:r>
    </w:p>
    <w:p>
      <w:r>
        <w:rPr>
          <w:b/>
        </w:rPr>
        <w:t>E. 4</w:t>
      </w:r>
    </w:p>
    <w:p>
      <w:r>
        <w:t>Verurteilungen zu einer bedingten Freiheitsstrafe bis zu drei Monaten fünf Jahre nach Ablauf der Probezeit, solche von über 3-18 Monaten zehn Jahre nach Ablauf der Probezeit, wenn ihr Eintrag aufgrund von Artikel 41 Ziffer 4 oder 96 StGB bzw. Artikel 32 Ziffer 4 MStG gelöscht wurde;</w:t>
      </w:r>
    </w:p>
    <w:p>
      <w:r>
        <w:rPr>
          <w:b/>
        </w:rPr>
        <w:t>E. 5</w:t>
      </w:r>
    </w:p>
    <w:p>
      <w:r>
        <w:t>Verurteilungen zu einer Busse fünf Jahre nach Ablauf der Probezeit, wenn der Eintrag aufgrund von Artikel 49 Ziffer 4 StGB oder 34 Ziffer 4 MStG gelöscht wurde;</w:t>
      </w:r>
    </w:p>
    <w:p>
      <w:r>
        <w:rPr>
          <w:b/>
        </w:rPr>
        <w:t>E. 6</w:t>
      </w:r>
    </w:p>
    <w:p>
      <w:r>
        <w:t>Verurteilungen zu einer Massnahme oder Einschliessung ( Art. 91, 92 und 95 StGB ), wenn seit dem Urteil zehn Jahre, bei Einweisung in eine Anstalt nach Artikel 91 Ziff. 2 StGB 15 Jahre verstrichen sind." Aufgrund dieser neuen Entfernungsregeln, die auf das Postulat Gadient vom 16. März 1989 (Amtl.Bull. 1989 S 303) zurückgehen, beträgt die BGE 121 IV 3 S. 8 Verweildauer des Strafregistereintrags vom Urteil an gerechnet: bei unbedingten Freiheitsstrafen bis zu 3 Monaten 11-11 1/4 Jahre (bei Löschung von Amtes wegen, Art. 80 Ziff. 1 StGB ) bzw. minimal 3 bis 3 1/4 Jahre (bei Löschung auf Gesuch des Verurteilten, Art. 80 Ziff. 2 StGB ); bei bedingten Freiheitsstrafen von mehr als 3 Monaten bis zu 18 Monaten in der Regel 12 bis 15 Jahre; bei bedingten Freiheitsstrafen bis zu 3 Monaten in der Regel 7-10 Jahre bzw. - bei Übertretungen - 6 Jahre; bei nicht vorzeitig löschbaren Bussen 11 Jahre (bei Löschung von Amtes wegen) bzw. minimal 3 Jahre (bei Löschung auf Gesuch des Verurteilten); bei vorzeitig löschbaren Bussen in der Regel 6-7 Jahre (zu den Einzelheiten: JÜRG GIGER, Das neue Strafregisterrecht, ZStrR 111/1993, S. 197 ff., insb. 206 ff.). cc) Entfernte Vorstrafen sind im Gegensatz zu gelöschten im Strafregister nicht mehr vorhanden und für den Strafrichter aus dem Registerauszug somit nicht mehr ersichtlich. Entfernte Vorstrafen können dem Richter gleichwohl zur Kenntnis gelangen, etwa aufgrund von beigezogenen Vorakten und älteren Gutachten oder aufgrund der Aussagen des Angeklagten oder von Zeugen. Entfernte Vorstrafen können dem Richter überdies von seiner früheren Amtstätigkeit her bekannt sein. Im Strassenverkehrsbereich können sie ihm ausserdem zur Kenntnis gelangen aufgrund des beim Bundesamt für Polizeiwesen geführten zentralen Registers der Administrativmassnahmen gegenüber Fahrzeugführern (ADMAS). Gemäss Art. 118 Abs. 6 VZV (SR 741.51) haben die für die Erteilung und den Entzug von Führerausweisen zuständigen Behörden den Gerichtsbehörden ihres Kantons im Strafverfahren wegen Strassenverkehrsdelikten, zur Beurteilung des automobilistischen Leumundes, auf Verlangen Eintragungen im ADMAS-Register mitzuteilen. Nach der Weisung des Eidgenössischen Justiz- und Polizeidepartements vom 30. September 1992 gelten für die Entfernung von Einträgen aus dem ADMAS-Register Fristen von zehn (z.B. bei Führerausweisentzügen wegen Angetrunkenheit) bzw. fünf Jahren. Wird eine neue Massnahme im ADMAS registriert, werden alle noch eingetragenen Massnahmen erst nach Ablauf der für die neue Massnahme geltenden Verweildauer entfernt. dd) Im deutschen Recht dürfen im Bundeszentralregister getilgte oder tilgungsreife Verurteilungen von Gesetzes wegen in einem neuen Strafverfahren grundsätzlich nicht zum Nachteil des Täters verwendet werden. Eine getilgte oder tilgungsreife Vorstrafe darf deshalb bei der Strafzumessung nicht strafschärfend berücksichtigt werden BGE 121 IV 3 S. 9 (SCHÖNKE/SCHRÖDER/STREE, Strafgesetzbuch, Kommentar, 24. Aufl., vor §§ 38 ff. N. 61 und § 46 N. 31 mit Hinweisen). Das schweizerische Recht kennt keine entsprechende Regelung. Gemäss Art. 63 StGB ist bei der Strafzumessung das Vorleben zu berücksichtigen. Zum Vorleben gehören auch entfernte Vorstrafen. Art. 63 StGB auferlegt dem Richter bei der Würdigung des Vorlebens keine Schranken und sagt nicht, entfernte Vorstrafen seien ausser acht zu lassen. Eine derartige Bestimmung enthält auch die Strafregisterverordnung nicht, wobei offenbleiben kann, wieweit überhaupt eine gesetzliche Grundlage für eine solche Beschränkung gegeben wäre. Ein Verwertungsverbot in bezug auf entfernte Vorstrafen wäre sachlich auch nicht gerechtfertigt. Entfernte Vorstrafen können für die Urteilsfindung in verschiedener Hinsicht wesentlich sein. Sie können zunächst von Bedeutung sein für die Wahl der Sanktionsart. So können etwa auch weiter zurückliegende und weniger schwerwiegende Vorstrafen wegen Fahrens in angetrunkenem Zustand den Richter dazu veranlassen, ein Gutachten einzuholen und gegebenenfalls eine Massnahme anzuordnen. Entsprechendes gilt für weiter zurückliegende Vorstrafen aus dem Betäubungsmittelbereich oder solche, die eine psychische Auffälligkeit des Angeklagten offenbaren. Entfernte Vorstrafen können sodann gerade in Fällen wie hier, wo der Betroffene mehrfach gegen das Strassenverkehrsgesetz verstossen hat, für die Strafzumessung und die Frage des bedingten Strafvollzugs bedeutsam sein. Ein Verwertungsverbot würde den Richter im übrigen dazu zwingen, zusammenhängende Sachverhalte im Vorleben des Angeklagten in Teile zu zerlegen und einzelne davon ausser acht zu lassen. So müsste der Richter beispielsweise berücksichtigen, dass der Angeklagte am Arbeitsplatz oder in der Ehe Schwierigkeiten hatte, dürfte aber nicht beachten, dass der Angeklagte am Arbeitsplatz gestohlen oder den Ehegatten geschlagen hat, falls dies zu entfernten Vorstrafen geführt hat. Das wäre offensichtlich ungereimt. Schwer durchführbar wäre ein Verwertungsverbot auch dort, wo ein Gutachten vorliegt und der ärztliche Sachverständige bei der Beurteilung der Persönlichkeit des Angeklagten entfernte Vorstrafen berücksichtigt hat. Das gleiche gilt, soweit Vorstrafen aufgrund des ADMAS-Auszuges bekannt wären, weil die Entfernung aus dem Register dort anders geregelt ist. Ein Verwertungsverbot in bezug auf entfernte Vorstrafen ist deshalb abzulehnen. Die Entfernung aus dem Strafregister aufgrund des Zeitablaufs kann allerdings ein Indiz dafür sein, dass der Vorstrafe für die Sanktion keine BGE 121 IV 3 S. 10 grosse Bedeutung mehr zukommt. Vorstrafen haben umso weniger Gewicht, je geringfügiger sie sind und je länger sie zurückliegen (vgl. BGE 96 IV 155 E. III/2; BGE 92 IV 118 , S. 121; STRATENWERTH, Schweizerisches Strafrecht, Allg. Teil II, § 7 N. 41). ee) Die Beschwerde ist in diesem Punkt somit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